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138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8C0EA3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развития</w:t>
            </w:r>
            <w:r w:rsidRPr="008C0EA3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138"/>
      </w:tblGrid>
      <w:tr w:rsidR="00CA5075" w:rsidRPr="008C0EA3" w:rsidTr="00DC35FA">
        <w:trPr>
          <w:trHeight w:val="578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F00544" w:rsidP="004B2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544">
              <w:rPr>
                <w:sz w:val="24"/>
                <w:szCs w:val="24"/>
              </w:rPr>
              <w:t>Проект постановления администрации города Нижнего Новгорода «</w:t>
            </w:r>
            <w:r w:rsidR="0012558E" w:rsidRPr="0012558E">
              <w:rPr>
                <w:sz w:val="24"/>
                <w:szCs w:val="24"/>
              </w:rPr>
              <w:t>О внесении изменений в постановление администрации города Нижнего Новгорода от 30.12.2021 № 6071</w:t>
            </w:r>
            <w:r w:rsidRPr="00F00544">
              <w:rPr>
                <w:sz w:val="24"/>
                <w:szCs w:val="24"/>
              </w:rPr>
              <w:t>».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Default="0085682D" w:rsidP="004E512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>Срок про</w:t>
      </w:r>
      <w:r w:rsidR="002460FA">
        <w:rPr>
          <w:rFonts w:ascii="Times New Roman" w:hAnsi="Times New Roman" w:cs="Times New Roman"/>
          <w:sz w:val="24"/>
          <w:szCs w:val="24"/>
        </w:rPr>
        <w:t>ведения публичных консультаций: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="00427C33" w:rsidRPr="008C0EA3">
        <w:rPr>
          <w:rFonts w:ascii="Times New Roman" w:hAnsi="Times New Roman" w:cs="Times New Roman"/>
          <w:sz w:val="24"/>
          <w:szCs w:val="24"/>
        </w:rPr>
        <w:t>«</w:t>
      </w:r>
      <w:r w:rsidR="00501B12" w:rsidRPr="00501B12">
        <w:rPr>
          <w:rFonts w:ascii="Times New Roman" w:hAnsi="Times New Roman" w:cs="Times New Roman"/>
          <w:sz w:val="24"/>
          <w:szCs w:val="24"/>
        </w:rPr>
        <w:t>01 марта 2023 года – 30 марта 2023 года</w:t>
      </w:r>
      <w:r w:rsidR="00F00544">
        <w:rPr>
          <w:rFonts w:ascii="Times New Roman" w:hAnsi="Times New Roman" w:cs="Times New Roman"/>
          <w:sz w:val="24"/>
          <w:szCs w:val="24"/>
        </w:rPr>
        <w:t>»</w:t>
      </w:r>
    </w:p>
    <w:p w:rsidR="00B377BF" w:rsidRPr="008C0EA3" w:rsidRDefault="00B377BF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p w:rsidR="004E5121" w:rsidRPr="008C0EA3" w:rsidRDefault="004E5121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712"/>
        <w:gridCol w:w="2694"/>
        <w:gridCol w:w="1842"/>
      </w:tblGrid>
      <w:tr w:rsidR="00CA5075" w:rsidRPr="008C0EA3" w:rsidTr="004E5121">
        <w:tc>
          <w:tcPr>
            <w:tcW w:w="817" w:type="dxa"/>
            <w:vAlign w:val="center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2" w:type="dxa"/>
            <w:vAlign w:val="center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  <w:vAlign w:val="center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vAlign w:val="center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4E5121">
        <w:tc>
          <w:tcPr>
            <w:tcW w:w="817" w:type="dxa"/>
            <w:vAlign w:val="center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  <w:vAlign w:val="center"/>
          </w:tcPr>
          <w:p w:rsidR="0085682D" w:rsidRPr="008C0EA3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r w:rsidR="00C90246" w:rsidRPr="00C90246">
              <w:rPr>
                <w:sz w:val="24"/>
                <w:szCs w:val="24"/>
                <w:lang w:val="en-US"/>
              </w:rPr>
              <w:t>m</w:t>
            </w:r>
            <w:r w:rsidR="00C90246" w:rsidRPr="00C90246">
              <w:rPr>
                <w:sz w:val="24"/>
                <w:szCs w:val="24"/>
              </w:rPr>
              <w:t>.</w:t>
            </w:r>
            <w:proofErr w:type="spellStart"/>
            <w:r w:rsidR="00C90246" w:rsidRPr="00C90246">
              <w:rPr>
                <w:sz w:val="24"/>
                <w:szCs w:val="24"/>
                <w:lang w:val="en-US"/>
              </w:rPr>
              <w:t>panshin</w:t>
            </w:r>
            <w:proofErr w:type="spellEnd"/>
            <w:r w:rsidR="00C90246" w:rsidRPr="00C90246">
              <w:rPr>
                <w:sz w:val="24"/>
                <w:szCs w:val="24"/>
              </w:rPr>
              <w:t>@</w:t>
            </w:r>
            <w:proofErr w:type="spellStart"/>
            <w:r w:rsidR="00C90246" w:rsidRPr="00C90246">
              <w:rPr>
                <w:sz w:val="24"/>
                <w:szCs w:val="24"/>
                <w:lang w:val="en-US"/>
              </w:rPr>
              <w:t>admgor</w:t>
            </w:r>
            <w:proofErr w:type="spellEnd"/>
            <w:r w:rsidR="00C90246" w:rsidRPr="00C90246">
              <w:rPr>
                <w:sz w:val="24"/>
                <w:szCs w:val="24"/>
              </w:rPr>
              <w:t>.</w:t>
            </w:r>
            <w:proofErr w:type="spellStart"/>
            <w:r w:rsidR="00C90246" w:rsidRPr="00C90246">
              <w:rPr>
                <w:sz w:val="24"/>
                <w:szCs w:val="24"/>
                <w:lang w:val="en-US"/>
              </w:rPr>
              <w:t>nnov</w:t>
            </w:r>
            <w:proofErr w:type="spellEnd"/>
            <w:r w:rsidR="00C90246" w:rsidRPr="00C90246">
              <w:rPr>
                <w:sz w:val="24"/>
                <w:szCs w:val="24"/>
              </w:rPr>
              <w:t>.</w:t>
            </w:r>
            <w:proofErr w:type="spellStart"/>
            <w:r w:rsidR="00C90246" w:rsidRPr="00C9024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vAlign w:val="center"/>
          </w:tcPr>
          <w:p w:rsidR="007C2D3C" w:rsidRDefault="007C2D3C" w:rsidP="007C2D3C">
            <w:pPr>
              <w:pStyle w:val="ConsPlusNonformat"/>
              <w:ind w:left="88"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0817CC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  <w:r w:rsidR="000817CC" w:rsidRPr="000817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5682D" w:rsidRPr="008C0EA3" w:rsidRDefault="007C2D3C" w:rsidP="007C2D3C">
            <w:pPr>
              <w:pStyle w:val="ConsPlusNonformat"/>
              <w:ind w:left="88"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17CC" w:rsidRPr="000817CC">
              <w:rPr>
                <w:rFonts w:ascii="Times New Roman" w:hAnsi="Times New Roman" w:cs="Times New Roman"/>
                <w:sz w:val="24"/>
                <w:szCs w:val="24"/>
              </w:rPr>
              <w:t xml:space="preserve"> марта 2023 года</w:t>
            </w:r>
          </w:p>
        </w:tc>
        <w:tc>
          <w:tcPr>
            <w:tcW w:w="1842" w:type="dxa"/>
            <w:vAlign w:val="center"/>
          </w:tcPr>
          <w:p w:rsidR="0085682D" w:rsidRPr="008C0EA3" w:rsidRDefault="007C2D3C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AD9" w:rsidRPr="008C0EA3" w:rsidTr="004E5121">
        <w:tc>
          <w:tcPr>
            <w:tcW w:w="817" w:type="dxa"/>
            <w:vAlign w:val="center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  <w:vAlign w:val="center"/>
          </w:tcPr>
          <w:p w:rsidR="00472AD9" w:rsidRPr="008C0EA3" w:rsidRDefault="00472AD9" w:rsidP="00CA64A7">
            <w:pPr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C0EA3">
              <w:rPr>
                <w:sz w:val="24"/>
                <w:szCs w:val="24"/>
              </w:rPr>
              <w:t>каб</w:t>
            </w:r>
            <w:proofErr w:type="spellEnd"/>
            <w:r w:rsidRPr="008C0EA3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  <w:vAlign w:val="center"/>
          </w:tcPr>
          <w:p w:rsidR="007C2D3C" w:rsidRPr="007C2D3C" w:rsidRDefault="007C2D3C" w:rsidP="007C2D3C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3C">
              <w:rPr>
                <w:rFonts w:ascii="Times New Roman" w:hAnsi="Times New Roman" w:cs="Times New Roman"/>
                <w:sz w:val="24"/>
                <w:szCs w:val="24"/>
              </w:rPr>
              <w:t xml:space="preserve">01 марта 2023 года – </w:t>
            </w:r>
          </w:p>
          <w:p w:rsidR="00472AD9" w:rsidRPr="008C0EA3" w:rsidRDefault="007C2D3C" w:rsidP="007C2D3C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3C">
              <w:rPr>
                <w:rFonts w:ascii="Times New Roman" w:hAnsi="Times New Roman" w:cs="Times New Roman"/>
                <w:sz w:val="24"/>
                <w:szCs w:val="24"/>
              </w:rPr>
              <w:t>30 марта 2023 года</w:t>
            </w:r>
          </w:p>
        </w:tc>
        <w:tc>
          <w:tcPr>
            <w:tcW w:w="1842" w:type="dxa"/>
            <w:vAlign w:val="center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5121" w:rsidRDefault="004E5121" w:rsidP="004E512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p w:rsidR="004E5121" w:rsidRPr="008C0EA3" w:rsidRDefault="004E5121" w:rsidP="004E512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030"/>
      </w:tblGrid>
      <w:tr w:rsidR="004E5121" w:rsidRPr="00B377BF" w:rsidTr="004E5121">
        <w:trPr>
          <w:trHeight w:val="454"/>
        </w:trPr>
        <w:tc>
          <w:tcPr>
            <w:tcW w:w="10030" w:type="dxa"/>
            <w:vAlign w:val="center"/>
          </w:tcPr>
          <w:p w:rsidR="004E5121" w:rsidRPr="004E5121" w:rsidRDefault="004E5121" w:rsidP="004E5121">
            <w:p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E5121">
              <w:rPr>
                <w:sz w:val="24"/>
                <w:szCs w:val="24"/>
              </w:rPr>
              <w:t xml:space="preserve">ИП </w:t>
            </w:r>
            <w:proofErr w:type="spellStart"/>
            <w:r w:rsidRPr="004E5121">
              <w:rPr>
                <w:sz w:val="24"/>
                <w:szCs w:val="24"/>
              </w:rPr>
              <w:t>Скочигорова</w:t>
            </w:r>
            <w:proofErr w:type="spellEnd"/>
            <w:r w:rsidRPr="004E5121">
              <w:rPr>
                <w:sz w:val="24"/>
                <w:szCs w:val="24"/>
              </w:rPr>
              <w:t xml:space="preserve"> М.В.</w:t>
            </w:r>
          </w:p>
        </w:tc>
      </w:tr>
      <w:tr w:rsidR="004E5121" w:rsidRPr="00B377BF" w:rsidTr="004E5121">
        <w:trPr>
          <w:trHeight w:val="454"/>
        </w:trPr>
        <w:tc>
          <w:tcPr>
            <w:tcW w:w="10030" w:type="dxa"/>
            <w:vAlign w:val="center"/>
          </w:tcPr>
          <w:p w:rsidR="004E5121" w:rsidRPr="004E5121" w:rsidRDefault="004E5121" w:rsidP="004E5121">
            <w:p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E5121">
              <w:rPr>
                <w:sz w:val="24"/>
                <w:szCs w:val="24"/>
              </w:rPr>
              <w:t>НРО Общероссийской общественной организации малого и среднего бизнеса «Опора России»</w:t>
            </w:r>
          </w:p>
        </w:tc>
      </w:tr>
      <w:tr w:rsidR="004E5121" w:rsidRPr="00B377BF" w:rsidTr="004E5121">
        <w:trPr>
          <w:trHeight w:val="454"/>
        </w:trPr>
        <w:tc>
          <w:tcPr>
            <w:tcW w:w="10030" w:type="dxa"/>
            <w:vAlign w:val="center"/>
          </w:tcPr>
          <w:p w:rsidR="004E5121" w:rsidRPr="004E5121" w:rsidRDefault="004E5121" w:rsidP="004E5121">
            <w:p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E5121">
              <w:rPr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</w:p>
        </w:tc>
      </w:tr>
      <w:tr w:rsidR="004E5121" w:rsidRPr="00B377BF" w:rsidTr="004E5121">
        <w:trPr>
          <w:trHeight w:val="454"/>
        </w:trPr>
        <w:tc>
          <w:tcPr>
            <w:tcW w:w="10030" w:type="dxa"/>
            <w:vAlign w:val="center"/>
          </w:tcPr>
          <w:p w:rsidR="004E5121" w:rsidRPr="004E5121" w:rsidRDefault="004E5121" w:rsidP="004E5121">
            <w:p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E5121">
              <w:rPr>
                <w:sz w:val="24"/>
                <w:szCs w:val="24"/>
              </w:rPr>
              <w:t>АНО «ЦПП города Нижнего Новгорода»</w:t>
            </w:r>
          </w:p>
        </w:tc>
      </w:tr>
      <w:tr w:rsidR="004E5121" w:rsidRPr="00B377BF" w:rsidTr="004E5121">
        <w:trPr>
          <w:trHeight w:val="454"/>
        </w:trPr>
        <w:tc>
          <w:tcPr>
            <w:tcW w:w="10030" w:type="dxa"/>
            <w:vAlign w:val="center"/>
          </w:tcPr>
          <w:p w:rsidR="004E5121" w:rsidRPr="004E5121" w:rsidRDefault="004E5121" w:rsidP="004E5121">
            <w:p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E5121">
              <w:rPr>
                <w:sz w:val="24"/>
                <w:szCs w:val="24"/>
              </w:rPr>
              <w:t>ИП Садыкова О.В.</w:t>
            </w:r>
          </w:p>
        </w:tc>
      </w:tr>
    </w:tbl>
    <w:p w:rsidR="004E5121" w:rsidRDefault="004E5121" w:rsidP="004E512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5121" w:rsidRPr="008C0EA3" w:rsidRDefault="004E5121" w:rsidP="004E512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4E5121" w:rsidRDefault="004E5121" w:rsidP="004E51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4457"/>
        <w:gridCol w:w="2977"/>
        <w:gridCol w:w="2126"/>
      </w:tblGrid>
      <w:tr w:rsidR="004E5121" w:rsidRPr="00AA5983" w:rsidTr="004E5121">
        <w:tc>
          <w:tcPr>
            <w:tcW w:w="505" w:type="dxa"/>
          </w:tcPr>
          <w:p w:rsidR="004E5121" w:rsidRPr="00AA5983" w:rsidRDefault="004E5121" w:rsidP="004E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7" w:type="dxa"/>
            <w:vAlign w:val="center"/>
          </w:tcPr>
          <w:p w:rsidR="004E5121" w:rsidRPr="00AA5983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4E5121" w:rsidRPr="00AA5983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126" w:type="dxa"/>
            <w:vAlign w:val="center"/>
          </w:tcPr>
          <w:p w:rsidR="004E5121" w:rsidRPr="00AA5983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4E5121" w:rsidRPr="00AA5983" w:rsidTr="004E5121">
        <w:tc>
          <w:tcPr>
            <w:tcW w:w="10065" w:type="dxa"/>
            <w:gridSpan w:val="4"/>
            <w:vAlign w:val="center"/>
          </w:tcPr>
          <w:p w:rsidR="004E5121" w:rsidRPr="00AA5983" w:rsidRDefault="004E5121" w:rsidP="004E512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прилагается </w:t>
            </w:r>
            <w:r w:rsidRPr="00EE758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B7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58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</w:tbl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108A" w:rsidRDefault="00CF108A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7B5C" w:rsidRDefault="00EB7B5C" w:rsidP="00EB7B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C0EA3">
        <w:rPr>
          <w:rFonts w:ascii="Times New Roman" w:hAnsi="Times New Roman" w:cs="Times New Roman"/>
          <w:sz w:val="24"/>
          <w:szCs w:val="24"/>
        </w:rPr>
        <w:t xml:space="preserve">иректор департамента развития </w:t>
      </w:r>
    </w:p>
    <w:p w:rsidR="00EB7B5C" w:rsidRDefault="00EB7B5C" w:rsidP="00EB7B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и инвестиций </w:t>
      </w:r>
    </w:p>
    <w:p w:rsidR="004E5121" w:rsidRDefault="00EB7B5C" w:rsidP="00EB7B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администрации города Нижнего Новгорода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Федичева</w:t>
      </w:r>
      <w:proofErr w:type="spellEnd"/>
    </w:p>
    <w:p w:rsidR="004E5121" w:rsidRDefault="004E5121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5121" w:rsidRDefault="004E5121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5121" w:rsidRDefault="004E5121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5121" w:rsidRDefault="004E5121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5121" w:rsidRDefault="004E5121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5121" w:rsidRDefault="004E5121" w:rsidP="004E5121">
      <w:pPr>
        <w:tabs>
          <w:tab w:val="left" w:pos="7664"/>
        </w:tabs>
        <w:ind w:left="3686"/>
        <w:rPr>
          <w:sz w:val="24"/>
          <w:szCs w:val="24"/>
        </w:rPr>
        <w:sectPr w:rsidR="004E5121" w:rsidSect="00EB7B5C">
          <w:headerReference w:type="even" r:id="rId8"/>
          <w:headerReference w:type="default" r:id="rId9"/>
          <w:headerReference w:type="first" r:id="rId10"/>
          <w:pgSz w:w="11907" w:h="16834" w:code="9"/>
          <w:pgMar w:top="851" w:right="851" w:bottom="851" w:left="1134" w:header="289" w:footer="289" w:gutter="0"/>
          <w:cols w:space="720"/>
          <w:titlePg/>
          <w:docGrid w:linePitch="272"/>
        </w:sectPr>
      </w:pPr>
    </w:p>
    <w:p w:rsidR="004E5121" w:rsidRPr="00AA5983" w:rsidRDefault="004E5121" w:rsidP="004E5121">
      <w:pPr>
        <w:tabs>
          <w:tab w:val="left" w:pos="7664"/>
        </w:tabs>
        <w:ind w:left="8080"/>
        <w:rPr>
          <w:sz w:val="24"/>
          <w:szCs w:val="24"/>
        </w:rPr>
      </w:pPr>
      <w:r w:rsidRPr="00AA5983">
        <w:rPr>
          <w:sz w:val="24"/>
          <w:szCs w:val="24"/>
        </w:rPr>
        <w:lastRenderedPageBreak/>
        <w:t>Приложение к отчету</w:t>
      </w:r>
    </w:p>
    <w:p w:rsidR="004E5121" w:rsidRPr="00AA5983" w:rsidRDefault="004E5121" w:rsidP="004E5121">
      <w:pPr>
        <w:pStyle w:val="ConsPlusNormal"/>
        <w:ind w:left="8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983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к проекту постановления администрации города Нижнего Новгорода </w:t>
      </w:r>
      <w:r w:rsidRPr="005970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59707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Нижнего Новгорода </w:t>
      </w:r>
      <w:r w:rsidRPr="004E5121">
        <w:rPr>
          <w:rFonts w:ascii="Times New Roman" w:hAnsi="Times New Roman" w:cs="Times New Roman"/>
          <w:sz w:val="24"/>
          <w:szCs w:val="24"/>
        </w:rPr>
        <w:t>от 30.12.2021 № 6071</w:t>
      </w:r>
      <w:r w:rsidRPr="0059707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05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7297"/>
        <w:gridCol w:w="1984"/>
        <w:gridCol w:w="5387"/>
      </w:tblGrid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4E5121" w:rsidP="004E51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Nп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Замеч</w:t>
            </w:r>
            <w:bookmarkStart w:id="0" w:name="_GoBack"/>
            <w:bookmarkEnd w:id="0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ания и (или) предложения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Комментарий (позиция) регулирующего органа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4E5121" w:rsidP="004E5121">
            <w:pPr>
              <w:ind w:hanging="60"/>
              <w:jc w:val="center"/>
              <w:rPr>
                <w:sz w:val="22"/>
                <w:szCs w:val="22"/>
              </w:rPr>
            </w:pPr>
            <w:r w:rsidRPr="00DC35FA">
              <w:rPr>
                <w:sz w:val="22"/>
                <w:szCs w:val="22"/>
              </w:rPr>
              <w:t>1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1. Необходимо предусмотреть возможность смены типа НТО по всем категориям на любые категории, при этом право принимать решения о смене типа НТО будет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принадлежать администратору (муниципалитету), данный порядок не будет уведомительным, администратор будет рассматривать предложение о смене типа НТО, согласовывать смену типа НТО или оказывать в ней.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Скочигорова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Проект постановления не предусматривает регулирование данного вопроса. 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4E5121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При принятии решения об изменении типа, специализации, площади НТО прописываются основания для принятия решения городской комиссией об одностороннем внесении изменений в приложение № 2 действующего договора на размещение НТО (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форэскизы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). Считаем, что нужно внести дополнение в части полномочий для одностороннего порядка в случае отсутствия индивидуального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форэскиза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со стороны предпринимателя, согласованного с Департаментом градостроительства и архитектуры города Нижнего Новгорода.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НРО «Опора России»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Подпунктом 2.1.4 положения городской комиссии по организации деятельности нестационарных торговых объектов на территории города Нижнего Новгорода", утвержденного постановлением администрации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. Н.Новгорода от 22.05.2019 № 1613 в ред. от 16.02.2023 комиссия наделена полномочиями на принятие решений об изменении приложения № 2 договора на размещение НТО.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В проекте прописано основание для применения Департаментом мер ответственности в виде расторжения договора размещение НТО в одностороннем внесудебном порядке в случаях поступления информации о вступившем в законную силу постановления правоохранительных органов, которым установлен факт совершения в НТО преступления или административного правонарушения в сфере оборота (торговли) алкогольной и спиртосодержащей продукции.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Считаем, что необходимо процедуру расторжения в одностороннем порядке проводить в несколько этапов для возможности у субъектов предпринимательской деятельности исправить обнаруженное нарушение.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НРО «Опора России»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В связи с невозможностью обеспечения единого подхода при применении различных мер ответственности к СПД, установленных договором, по одному и тому же нарушению.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Исключение пунктов 3.2 (обязанности предпринимателя) типовых форм 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договоров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на размещение НТО подпунктов дублирующих обязанностей предпринимателя не исключает обязанности соблюдения Правил благоустройства города Нижнего Новгорода. Таким образом, остается положение, при котором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УАТиМК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может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за одно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и то же нарушение (надписи на объекте) применить меры наказания предпринимателя. 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НРО «Опора России»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Договором на размещение НТО не предусмотрена ответственность за надписи на НТО, административная ответственность применяется только по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КоАП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НО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Дополнительно считаем целесообразно рассмотреть вопрос об исключения запрета на передачу прав третьим лицам по договору на размещение нестационарного торгового объекта.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НРО «Опора России»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предусматривающие  передачу прав третьим лицам по договору на размещение нестационарного торгового объекта исключены по требованию прокуратуры города Нижнего Новгорода</w:t>
            </w:r>
          </w:p>
        </w:tc>
      </w:tr>
      <w:tr w:rsidR="004E5121" w:rsidRPr="00DC35FA" w:rsidTr="00512FE8">
        <w:trPr>
          <w:trHeight w:val="2176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ind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Считаем необходимым уведомить каждого предпринимателя, с кем заключены договора на размещение НТО, о новом порядке проведения обследований и уведомления о проведенных проверочных мероприятиях, в том числе в каком разделе сайта искать информацию о результатах проведенных обследований.   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НРО «Опора России»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При утверждении настоящего проекта постановления новый порядок будет опубликован в общем доступе на официальном сайте администрации города Нижнего Новгорода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нижнийновгород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 Документы/Муниципальные правовые акты.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Информация о результатах проведенных обследований будет публиковаться в разделе  Предпринимательство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Считаем необходимым исключить согласование нового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форсэскиза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при изменении специализации объекта.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НРО «Опора России»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СПД предоставляется право в предоставлении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форэскизов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из каталога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форэскизов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НТО, утверждённого постановлением администрации города Нижнего Новгорода №14 от 11.01.2022, без необходимости согласования с департаментом градостроительного развития и архитектуры  администрации города Нижнего Новгорода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Пункт 4.3 абзац 4 заменить текстом следующего содержания:  «один раз в течени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календарного года, в части: специализации НТО; площади НТО; типа НТО, если данный объект соответствует требованиям действующего законодательства, Технических регламентов, санитарных правил и норм, а также градостроительной (архитектурно-художественной) концепции развития отдельных территорий, разработанной и утвержденной администрацией города Нижнего Новгорода.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512F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указанных изменений повлечёт нарушение условий здоровой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конкуренции, также предлагаемые изменения не содержат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конкретных предложений по нормам, предусматривающих основания для отказа в смене типа НТО.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351CBD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CB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97" w:type="dxa"/>
            <w:vAlign w:val="center"/>
          </w:tcPr>
          <w:p w:rsidR="004E5121" w:rsidRPr="00351CBD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CBD">
              <w:rPr>
                <w:rFonts w:ascii="Times New Roman" w:hAnsi="Times New Roman" w:cs="Times New Roman"/>
                <w:sz w:val="22"/>
                <w:szCs w:val="22"/>
              </w:rPr>
              <w:t xml:space="preserve">Внести в приложение №2 Положение об организации и проведении электронного аукциона на право заключения договоров на размещение НТО на территории города Нижнего </w:t>
            </w:r>
            <w:proofErr w:type="gramStart"/>
            <w:r w:rsidRPr="00351CBD">
              <w:rPr>
                <w:rFonts w:ascii="Times New Roman" w:hAnsi="Times New Roman" w:cs="Times New Roman"/>
                <w:sz w:val="22"/>
                <w:szCs w:val="22"/>
              </w:rPr>
              <w:t>Новгорода</w:t>
            </w:r>
            <w:proofErr w:type="gramEnd"/>
            <w:r w:rsidRPr="00351CBD">
              <w:rPr>
                <w:rFonts w:ascii="Times New Roman" w:hAnsi="Times New Roman" w:cs="Times New Roman"/>
                <w:sz w:val="22"/>
                <w:szCs w:val="22"/>
              </w:rPr>
              <w:t xml:space="preserve"> следующие изменения:</w:t>
            </w:r>
          </w:p>
          <w:p w:rsidR="004E5121" w:rsidRPr="00351CBD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CBD">
              <w:rPr>
                <w:rFonts w:ascii="Times New Roman" w:hAnsi="Times New Roman" w:cs="Times New Roman"/>
                <w:sz w:val="22"/>
                <w:szCs w:val="22"/>
              </w:rPr>
              <w:t>В пункте 11.6 слова «не позднее одного рабочего дня» заменить словами «не позднее 3 (трёх) рабочих дней».</w:t>
            </w:r>
          </w:p>
          <w:p w:rsidR="004E5121" w:rsidRPr="00351CBD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1CBD">
              <w:rPr>
                <w:rFonts w:ascii="Times New Roman" w:hAnsi="Times New Roman" w:cs="Times New Roman"/>
                <w:sz w:val="22"/>
                <w:szCs w:val="22"/>
              </w:rPr>
              <w:t>Пункте</w:t>
            </w:r>
            <w:proofErr w:type="gramEnd"/>
            <w:r w:rsidRPr="00351CBD">
              <w:rPr>
                <w:rFonts w:ascii="Times New Roman" w:hAnsi="Times New Roman" w:cs="Times New Roman"/>
                <w:sz w:val="22"/>
                <w:szCs w:val="22"/>
              </w:rPr>
              <w:t xml:space="preserve"> 12.1 изложить в следующей редакции:</w:t>
            </w:r>
          </w:p>
          <w:p w:rsidR="004E5121" w:rsidRPr="00351CBD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CBD"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«Организатор Электронного аукциона в течение 3 (трех) рабочих дней со дня, следующего за днём </w:t>
            </w:r>
            <w:proofErr w:type="gramStart"/>
            <w:r w:rsidRPr="00351CBD">
              <w:rPr>
                <w:rFonts w:ascii="Times New Roman" w:hAnsi="Times New Roman" w:cs="Times New Roman"/>
                <w:sz w:val="22"/>
                <w:szCs w:val="22"/>
              </w:rPr>
              <w:t>размещения протокола подведения итогов Электронного аукциона</w:t>
            </w:r>
            <w:proofErr w:type="gramEnd"/>
            <w:r w:rsidRPr="00351CBD">
              <w:rPr>
                <w:rFonts w:ascii="Times New Roman" w:hAnsi="Times New Roman" w:cs="Times New Roman"/>
                <w:sz w:val="22"/>
                <w:szCs w:val="22"/>
              </w:rPr>
              <w:t xml:space="preserve"> на электронной площадке направляет Оператору проект договора, составляемый путем включения максимальной стоимости лота, предложенной участником Электронного аукциона, с которым заключается договор. Оператор в течение одного часа направляет поступивший проект договора победителю Электронного аукциона</w:t>
            </w:r>
            <w:proofErr w:type="gramStart"/>
            <w:r w:rsidRPr="00351CBD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АНО «ЦПП города Нижнего Новгорода»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Учтено.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7F3545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54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97" w:type="dxa"/>
            <w:vAlign w:val="center"/>
          </w:tcPr>
          <w:p w:rsidR="004E5121" w:rsidRPr="007F3545" w:rsidRDefault="004E5121" w:rsidP="004D41C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545">
              <w:rPr>
                <w:rFonts w:ascii="Times New Roman" w:hAnsi="Times New Roman" w:cs="Times New Roman"/>
                <w:sz w:val="22"/>
                <w:szCs w:val="22"/>
              </w:rPr>
              <w:t xml:space="preserve">Уменьшить ограничение на включение мест в схему размещения НТО от остановочных пунктов городского транспорта общего пользования с 20 до 10 метров (пункт 2.6 Порядка размещения НТО). 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АНО «ЦПП города Нижнего Новгорода»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Учтено.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7F3545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54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97" w:type="dxa"/>
            <w:vAlign w:val="center"/>
          </w:tcPr>
          <w:p w:rsidR="004E5121" w:rsidRPr="007F3545" w:rsidRDefault="004E5121" w:rsidP="00E23E6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3545">
              <w:rPr>
                <w:rFonts w:ascii="Times New Roman" w:hAnsi="Times New Roman" w:cs="Times New Roman"/>
                <w:sz w:val="22"/>
                <w:szCs w:val="22"/>
              </w:rPr>
              <w:t>В случае принятия (изменения) градостроительной концепции развития отдельных территорий (архитектурно-художественной концепции) или концепции благоустройства территорий, либо при проведении комплексного благоустройства территории и принятия соответствующего решения  комиссией в части изменения внешнего вида НТО, дополнить порядок размещения НТО или договор на размещение НТО обязанностью предпринимателя о приведении внешнего вида НТО в соответствии с принятым решением.</w:t>
            </w:r>
            <w:proofErr w:type="gramEnd"/>
            <w:r w:rsidR="00E23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3545">
              <w:rPr>
                <w:rFonts w:ascii="Times New Roman" w:hAnsi="Times New Roman" w:cs="Times New Roman"/>
                <w:sz w:val="22"/>
                <w:szCs w:val="22"/>
              </w:rPr>
              <w:t>В случае не выполнения предпринимателем новых требований к внешнему виду НТО предусмотреть возможность расторжения договора на размещение НТО в одностороннем порядке.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АНО «ЦПП города Нижнего Новгорода»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7F3545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Учтено.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Не вносить изменения в пункт 4.3 абзац 4 в части замены текстом следующего содержания: 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«один раз в течени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календарного года, в части: специализации НТО;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площади НТО, за исключением торговых тележек и торговых палаток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;»</w:t>
            </w:r>
            <w:proofErr w:type="gramEnd"/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Отклонено. 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Конструктивные особенности торговых тележек и торговых палаток  предусмотренные каталогом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форэскизов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НТО, утверждённым постановлением администрации города Нижнего Новгорода №14 от 11.01.2022, не позволяют осуществлять значительное изменение площади объектов в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с чем отсутствует возможность внесения указанных изменений в Схему. 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"ГОСТ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51303-2013. Национальный стандарт Российской Федерации. Торговля. Термины и определения" (утв. Приказом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Росстандарта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от 28.08.2013 N 582-ст): 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- Торговая палатка: Нестационарный торговый объект, представляющий собой оснащенную прилавком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легковозводимую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 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- Торговая тележка: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упаковке.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Не вносить изменения в Пункт 5.3 в части дополнения абзацем 2.  Считаем целесообразным вносить изменения в приложение №2 по заявлению СПД.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Отклонено. 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При изменении требований к внешнему виду НТО, типа, специализации, площади НТО требуется приведения внешнего вида НТО с целью приведения  объектов к единому внешнему виду и улучшения облика города.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Не вносить изменения в абзаце 6 пункта 5.5 исключить слова «того района».  Считаем целесообразным, оставить действующий порядок предоставления альтернативных мест (на территории того района города, где произошло исключение места).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Указанные изменения вносятся с целью поддержки СПД, а также для создания благоприятных конкурентных условий.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Не вносить изменения в пункт 6.2.1 в части дополнения абзацем.  Опубликованные в сети интернет будут разглашать персональные данные СПД.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Планируемая к размещению информация не является персональными данными.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В п. 6.2.3 отсутствует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где и когда публикуется утвержденный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УАТиМК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график проведения плановых и внеплановых обследований.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Проектом постановления не предусмотрена публикация утвержденного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УАТиМК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графика проведения плановых и внеплановых обследований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В п. 6.2.3. «свыше 365 календарных дней - один раза в год.» имеется техническая ошибка в слове «один раза в год»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вместо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«один раз в год»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Учтено.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В отличи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от предыдущего абзаца отсутствует подробная информация по дате проведения обследование (в середине года, в начале или в конце года) и допускает возможность избирательного применения нормы.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Проектом постановления предусмотрено  проведение плановых обследований в соответствии с утвержденным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УАТиМК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графиком, либо   внеплановых обследований в сроки предусмотренные п. 6.2.3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В п. 6.2.3.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фразе «Плановые и внеплановые обследования могут однократными» имеется техническая ошибка пропущено слово «быть» после слова могут.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Учтено.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Положения п. 6.2.3.1. о размещение копии предупреждения на обследуемом НТО и публикации данных в сети интернет об СПД и НТО в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которого будет осуществлено обследование не будут соответствовать Федеральному закону от 27.07.2006 №152-ФЗ «О персональных данных», т.к. данные, размещенные на объекте и опубликованные в сети интернет будут разглашать персональные данные СПД.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Планируемая к размещению информация не является персональными данными.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Положения п. 6.2.3.1. способствуют возникновению необоснованных прав органов местного самоуправления и должностных лиц, допускает возможность избирательного применения норм, поскольку, в данных нормах не конкретизировано, кто (какой орган), в какие конкретные сроки (период времени) и на каком основании проводит обследование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Пунктом 6.2.3 проекта постановления предусмотрены порядок, основания и сроки  проведения плановых и внеплановых обследований.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Положения п. 6.2.3.2. о публикации данных в сети интернет об СПД и НТО в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которого будет осуществлено обследование не будут соответствовать Федеральному закону от 27.07.2006 №152-ФЗ «О персональных данных», поскольку данные, опубликованные в сети интернет будут разглашать персональные данные СПД.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Планируемая к размещению информация не является персональными данными.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Положения п. 6.2.3.3. не соответствует обычаям деловой практики, сложившейся в отрасли, т. к. юридически значимые действия не направляются посредством электронной почты, в связи с тем, что не могут гарантировать подтверждение доставки и получение письма адресатом посредством электронной почты.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Способ направления уведомления субъекта предпринимательской деятельности посредством электронной почты является дополненным, в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случаях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если адрес электронной почты предусмотрен договором на размещение НТО.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Не вносить изменения в 3.1.2 приложений 1-4 в части исключить слов «того района». </w:t>
            </w:r>
          </w:p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Исключение слова «того района» в п.п. 3.1.2 приложений 1-4 приведет к дисбалансу и некорректному перераспределению количества </w:t>
            </w:r>
          </w:p>
          <w:p w:rsidR="004E5121" w:rsidRPr="00DC35FA" w:rsidRDefault="004E5121" w:rsidP="004E5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НТО, из одного района в другой район города, т. к., согласно приложений №3 и №4 постановления администрации г. Н. Новгорода №3763 от 26.09.2011, в каждом районе города разные коэффициенты зон месторасположения НТО, а также обеспеченности </w:t>
            </w:r>
            <w:proofErr w:type="spell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неселения</w:t>
            </w:r>
            <w:proofErr w:type="spell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площадью торговых объектов и будет затруднительным и/или невозможным соблюсти стоимость размещения НТО в альтернативном месте, по сравнению с местом, которое было исключено, поскольку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разница в стоимости размещения может существенно измениться как в большую сторону, так и в меньшую сторону.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Указанные изменения вносятся с целью осуществления поддержки СПД, а также для создания благоприятных конкурентных условий.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Не вносить изменения в п. 3.3.5.  приложений 1-4 не соответствует обычаям деловой этики сложившейся в отрасли, т. к. юридически значимые действия не направляются посредством электронной почты, в связи с тем, что не могут гарантировать подтверждение доставки и получение письма адресатом посредством электронной почты.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Способ направления уведомления субъекта предпринимательской деятельности посредством электронной почты является дополненным, в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случаях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если адрес электронной почты предусмотрен договором на размещение НТО.</w:t>
            </w:r>
          </w:p>
        </w:tc>
      </w:tr>
      <w:tr w:rsidR="004E5121" w:rsidRPr="00DC35FA" w:rsidTr="00512FE8">
        <w:trPr>
          <w:trHeight w:val="20"/>
        </w:trPr>
        <w:tc>
          <w:tcPr>
            <w:tcW w:w="562" w:type="dxa"/>
            <w:vAlign w:val="center"/>
          </w:tcPr>
          <w:p w:rsidR="004E5121" w:rsidRPr="00DC35FA" w:rsidRDefault="00EB7B5C" w:rsidP="004E5121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297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Не вносить изменения п. 5.6. приложений 1-4 не соответствует обычаям деловой практики, сложившейся в отрасли, т. к. юридически значимые действия не направляются посредством электронной почты, в связи с тем, что не смогут гарантировать подтверждение доставки и получение письма адресатом посредством электронной почты.</w:t>
            </w:r>
          </w:p>
        </w:tc>
        <w:tc>
          <w:tcPr>
            <w:tcW w:w="1984" w:type="dxa"/>
            <w:vAlign w:val="center"/>
          </w:tcPr>
          <w:p w:rsidR="004E5121" w:rsidRPr="00DC35FA" w:rsidRDefault="004E5121" w:rsidP="004E5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ИП Садыкова О.В.</w:t>
            </w:r>
          </w:p>
        </w:tc>
        <w:tc>
          <w:tcPr>
            <w:tcW w:w="5387" w:type="dxa"/>
            <w:vAlign w:val="center"/>
          </w:tcPr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Отклонено.</w:t>
            </w:r>
          </w:p>
          <w:p w:rsidR="004E5121" w:rsidRPr="00DC35FA" w:rsidRDefault="004E5121" w:rsidP="004E5121">
            <w:pPr>
              <w:pStyle w:val="ConsPlusNormal"/>
              <w:ind w:left="-56" w:firstLine="42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Способ направления уведомления субъекта предпринимательской деятельности посредством электронной почты является дополненным, в </w:t>
            </w:r>
            <w:proofErr w:type="gramStart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>случаях</w:t>
            </w:r>
            <w:proofErr w:type="gramEnd"/>
            <w:r w:rsidRPr="00DC35FA">
              <w:rPr>
                <w:rFonts w:ascii="Times New Roman" w:hAnsi="Times New Roman" w:cs="Times New Roman"/>
                <w:sz w:val="22"/>
                <w:szCs w:val="22"/>
              </w:rPr>
              <w:t xml:space="preserve"> если адрес электронной почты предусмотрен договором на размещение НТО.</w:t>
            </w:r>
          </w:p>
        </w:tc>
      </w:tr>
    </w:tbl>
    <w:p w:rsidR="004E5121" w:rsidRDefault="004E5121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B377BF" w:rsidP="00E538D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6379" w:rsidRDefault="000B6379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5121" w:rsidRDefault="00147761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BEB" w:rsidRPr="008C0EA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</w:p>
    <w:p w:rsidR="005C0774" w:rsidRDefault="0012558E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инвестиций </w:t>
      </w:r>
      <w:r w:rsidR="0085682D" w:rsidRPr="008C0EA3">
        <w:rPr>
          <w:rFonts w:ascii="Times New Roman" w:hAnsi="Times New Roman" w:cs="Times New Roman"/>
          <w:sz w:val="24"/>
          <w:szCs w:val="24"/>
        </w:rPr>
        <w:t>администрации 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8C0EA3">
        <w:rPr>
          <w:rFonts w:ascii="Times New Roman" w:hAnsi="Times New Roman" w:cs="Times New Roman"/>
          <w:sz w:val="24"/>
          <w:szCs w:val="24"/>
        </w:rPr>
        <w:t xml:space="preserve">  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</w:t>
      </w:r>
      <w:r w:rsidR="00147761">
        <w:rPr>
          <w:rFonts w:ascii="Times New Roman" w:hAnsi="Times New Roman" w:cs="Times New Roman"/>
          <w:sz w:val="24"/>
          <w:szCs w:val="24"/>
        </w:rPr>
        <w:t xml:space="preserve">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1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47761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Федичева</w:t>
      </w:r>
    </w:p>
    <w:sectPr w:rsidR="005C0774" w:rsidSect="00EB7B5C">
      <w:pgSz w:w="16834" w:h="11907" w:orient="landscape" w:code="9"/>
      <w:pgMar w:top="851" w:right="851" w:bottom="851" w:left="851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21" w:rsidRDefault="004E5121">
      <w:r>
        <w:separator/>
      </w:r>
    </w:p>
  </w:endnote>
  <w:endnote w:type="continuationSeparator" w:id="0">
    <w:p w:rsidR="004E5121" w:rsidRDefault="004E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21" w:rsidRDefault="004E5121">
      <w:r>
        <w:separator/>
      </w:r>
    </w:p>
  </w:footnote>
  <w:footnote w:type="continuationSeparator" w:id="0">
    <w:p w:rsidR="004E5121" w:rsidRDefault="004E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21" w:rsidRDefault="00804294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E512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5121">
      <w:rPr>
        <w:rStyle w:val="ae"/>
        <w:noProof/>
      </w:rPr>
      <w:t>2</w:t>
    </w:r>
    <w:r>
      <w:rPr>
        <w:rStyle w:val="ae"/>
      </w:rPr>
      <w:fldChar w:fldCharType="end"/>
    </w:r>
  </w:p>
  <w:p w:rsidR="004E5121" w:rsidRDefault="004E512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6367"/>
      <w:docPartObj>
        <w:docPartGallery w:val="Page Numbers (Top of Page)"/>
        <w:docPartUnique/>
      </w:docPartObj>
    </w:sdtPr>
    <w:sdtContent>
      <w:p w:rsidR="00EB7B5C" w:rsidRDefault="00804294">
        <w:pPr>
          <w:pStyle w:val="ac"/>
          <w:jc w:val="center"/>
        </w:pPr>
        <w:fldSimple w:instr=" PAGE   \* MERGEFORMAT ">
          <w:r w:rsidR="004D41CF">
            <w:rPr>
              <w:noProof/>
            </w:rPr>
            <w:t>2</w:t>
          </w:r>
        </w:fldSimple>
      </w:p>
    </w:sdtContent>
  </w:sdt>
  <w:p w:rsidR="004E5121" w:rsidRDefault="004E512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21" w:rsidRDefault="004E5121">
    <w:pPr>
      <w:pStyle w:val="ac"/>
      <w:jc w:val="center"/>
    </w:pPr>
  </w:p>
  <w:p w:rsidR="004E5121" w:rsidRDefault="004E51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7F39"/>
    <w:multiLevelType w:val="hybridMultilevel"/>
    <w:tmpl w:val="23FC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5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4F6A"/>
    <w:rsid w:val="00035C06"/>
    <w:rsid w:val="000402F0"/>
    <w:rsid w:val="000464D2"/>
    <w:rsid w:val="0004708E"/>
    <w:rsid w:val="00047D3C"/>
    <w:rsid w:val="00052381"/>
    <w:rsid w:val="00052C02"/>
    <w:rsid w:val="00052F80"/>
    <w:rsid w:val="0005602F"/>
    <w:rsid w:val="00061B9A"/>
    <w:rsid w:val="00061CA7"/>
    <w:rsid w:val="00062A1F"/>
    <w:rsid w:val="00065CD1"/>
    <w:rsid w:val="00070560"/>
    <w:rsid w:val="00070FB7"/>
    <w:rsid w:val="00072352"/>
    <w:rsid w:val="00073C1F"/>
    <w:rsid w:val="00076DC8"/>
    <w:rsid w:val="000817CC"/>
    <w:rsid w:val="00083E70"/>
    <w:rsid w:val="0008435A"/>
    <w:rsid w:val="0008450D"/>
    <w:rsid w:val="000850C6"/>
    <w:rsid w:val="00085BA5"/>
    <w:rsid w:val="00087119"/>
    <w:rsid w:val="00087287"/>
    <w:rsid w:val="00093A18"/>
    <w:rsid w:val="00094485"/>
    <w:rsid w:val="00095564"/>
    <w:rsid w:val="00095996"/>
    <w:rsid w:val="000A534A"/>
    <w:rsid w:val="000B47E2"/>
    <w:rsid w:val="000B6379"/>
    <w:rsid w:val="000C02D7"/>
    <w:rsid w:val="000C6282"/>
    <w:rsid w:val="000C6F02"/>
    <w:rsid w:val="000C70CB"/>
    <w:rsid w:val="000D17A5"/>
    <w:rsid w:val="000D400B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558E"/>
    <w:rsid w:val="0012612E"/>
    <w:rsid w:val="00126684"/>
    <w:rsid w:val="001310AB"/>
    <w:rsid w:val="00133154"/>
    <w:rsid w:val="00135946"/>
    <w:rsid w:val="00136B81"/>
    <w:rsid w:val="00141BA7"/>
    <w:rsid w:val="00141DA9"/>
    <w:rsid w:val="00142136"/>
    <w:rsid w:val="00142494"/>
    <w:rsid w:val="001462AB"/>
    <w:rsid w:val="00147761"/>
    <w:rsid w:val="00162A8B"/>
    <w:rsid w:val="00171421"/>
    <w:rsid w:val="00171FC4"/>
    <w:rsid w:val="0017287A"/>
    <w:rsid w:val="001738AE"/>
    <w:rsid w:val="00174BA6"/>
    <w:rsid w:val="00177580"/>
    <w:rsid w:val="00186008"/>
    <w:rsid w:val="00191D68"/>
    <w:rsid w:val="00191FD5"/>
    <w:rsid w:val="001A5816"/>
    <w:rsid w:val="001A7831"/>
    <w:rsid w:val="001C232B"/>
    <w:rsid w:val="001C3149"/>
    <w:rsid w:val="001C322B"/>
    <w:rsid w:val="001C4630"/>
    <w:rsid w:val="001C59CC"/>
    <w:rsid w:val="001C7BDD"/>
    <w:rsid w:val="001D2EC7"/>
    <w:rsid w:val="001D5996"/>
    <w:rsid w:val="001D5D5A"/>
    <w:rsid w:val="001D61D2"/>
    <w:rsid w:val="001E0AE6"/>
    <w:rsid w:val="001F0518"/>
    <w:rsid w:val="001F0E25"/>
    <w:rsid w:val="001F3F82"/>
    <w:rsid w:val="001F4B33"/>
    <w:rsid w:val="001F7AF2"/>
    <w:rsid w:val="00200606"/>
    <w:rsid w:val="002076DA"/>
    <w:rsid w:val="0021080C"/>
    <w:rsid w:val="002113E3"/>
    <w:rsid w:val="00212298"/>
    <w:rsid w:val="00215080"/>
    <w:rsid w:val="00221217"/>
    <w:rsid w:val="00221D77"/>
    <w:rsid w:val="00224A20"/>
    <w:rsid w:val="00225CB4"/>
    <w:rsid w:val="0023519C"/>
    <w:rsid w:val="00237B9B"/>
    <w:rsid w:val="00240329"/>
    <w:rsid w:val="002437FB"/>
    <w:rsid w:val="00243952"/>
    <w:rsid w:val="002460FA"/>
    <w:rsid w:val="002509DB"/>
    <w:rsid w:val="00254192"/>
    <w:rsid w:val="00255B3C"/>
    <w:rsid w:val="00260559"/>
    <w:rsid w:val="00260C1B"/>
    <w:rsid w:val="00261C8E"/>
    <w:rsid w:val="002657AA"/>
    <w:rsid w:val="00265CD8"/>
    <w:rsid w:val="00265F7E"/>
    <w:rsid w:val="002669D5"/>
    <w:rsid w:val="0027074F"/>
    <w:rsid w:val="00270AC1"/>
    <w:rsid w:val="00276221"/>
    <w:rsid w:val="002822F5"/>
    <w:rsid w:val="00282987"/>
    <w:rsid w:val="00282E53"/>
    <w:rsid w:val="00284132"/>
    <w:rsid w:val="00284FA0"/>
    <w:rsid w:val="00285D5E"/>
    <w:rsid w:val="002871E5"/>
    <w:rsid w:val="00295108"/>
    <w:rsid w:val="00295E91"/>
    <w:rsid w:val="002966FF"/>
    <w:rsid w:val="00296BBB"/>
    <w:rsid w:val="002A391D"/>
    <w:rsid w:val="002A6243"/>
    <w:rsid w:val="002B1AF0"/>
    <w:rsid w:val="002B4D1F"/>
    <w:rsid w:val="002B6119"/>
    <w:rsid w:val="002B662A"/>
    <w:rsid w:val="002C0E8E"/>
    <w:rsid w:val="002C16E3"/>
    <w:rsid w:val="002C530D"/>
    <w:rsid w:val="002D27D2"/>
    <w:rsid w:val="002D67B6"/>
    <w:rsid w:val="002E1289"/>
    <w:rsid w:val="002E1DC4"/>
    <w:rsid w:val="002E3B38"/>
    <w:rsid w:val="002E77E7"/>
    <w:rsid w:val="002F05D2"/>
    <w:rsid w:val="002F2968"/>
    <w:rsid w:val="002F40EC"/>
    <w:rsid w:val="002F516A"/>
    <w:rsid w:val="002F6234"/>
    <w:rsid w:val="002F75F3"/>
    <w:rsid w:val="002F7CF5"/>
    <w:rsid w:val="002F7FE7"/>
    <w:rsid w:val="00304EAD"/>
    <w:rsid w:val="00306B7E"/>
    <w:rsid w:val="0031317B"/>
    <w:rsid w:val="00316E4C"/>
    <w:rsid w:val="00320973"/>
    <w:rsid w:val="003216C3"/>
    <w:rsid w:val="003221AA"/>
    <w:rsid w:val="00322C9F"/>
    <w:rsid w:val="00330F3B"/>
    <w:rsid w:val="003339FF"/>
    <w:rsid w:val="00333A05"/>
    <w:rsid w:val="00334796"/>
    <w:rsid w:val="003453E1"/>
    <w:rsid w:val="00351CBD"/>
    <w:rsid w:val="00357F73"/>
    <w:rsid w:val="003673BA"/>
    <w:rsid w:val="00370A6C"/>
    <w:rsid w:val="00371D90"/>
    <w:rsid w:val="003731AE"/>
    <w:rsid w:val="00380898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0DCA"/>
    <w:rsid w:val="003C318F"/>
    <w:rsid w:val="003C4062"/>
    <w:rsid w:val="003C794E"/>
    <w:rsid w:val="003D2BEA"/>
    <w:rsid w:val="003D6E02"/>
    <w:rsid w:val="003D7E0D"/>
    <w:rsid w:val="003E1AF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584E"/>
    <w:rsid w:val="00436D09"/>
    <w:rsid w:val="00440542"/>
    <w:rsid w:val="00440C1D"/>
    <w:rsid w:val="00442A1A"/>
    <w:rsid w:val="004442C4"/>
    <w:rsid w:val="00444945"/>
    <w:rsid w:val="004460DF"/>
    <w:rsid w:val="00447828"/>
    <w:rsid w:val="00453F34"/>
    <w:rsid w:val="0046740A"/>
    <w:rsid w:val="00472AD9"/>
    <w:rsid w:val="00473FA8"/>
    <w:rsid w:val="00477EF8"/>
    <w:rsid w:val="0048143D"/>
    <w:rsid w:val="00481969"/>
    <w:rsid w:val="00482158"/>
    <w:rsid w:val="004825F8"/>
    <w:rsid w:val="00483B4D"/>
    <w:rsid w:val="00490243"/>
    <w:rsid w:val="00491375"/>
    <w:rsid w:val="0049799E"/>
    <w:rsid w:val="004A0C5A"/>
    <w:rsid w:val="004A2863"/>
    <w:rsid w:val="004A7786"/>
    <w:rsid w:val="004B14AD"/>
    <w:rsid w:val="004B2FE5"/>
    <w:rsid w:val="004B380A"/>
    <w:rsid w:val="004B6A82"/>
    <w:rsid w:val="004B7B07"/>
    <w:rsid w:val="004C1874"/>
    <w:rsid w:val="004C3142"/>
    <w:rsid w:val="004C3759"/>
    <w:rsid w:val="004C3A07"/>
    <w:rsid w:val="004C75EA"/>
    <w:rsid w:val="004C763C"/>
    <w:rsid w:val="004D3DD5"/>
    <w:rsid w:val="004D41CF"/>
    <w:rsid w:val="004D5C1B"/>
    <w:rsid w:val="004E2FB5"/>
    <w:rsid w:val="004E34DD"/>
    <w:rsid w:val="004E5121"/>
    <w:rsid w:val="004E5225"/>
    <w:rsid w:val="004F122E"/>
    <w:rsid w:val="004F1AEC"/>
    <w:rsid w:val="004F2084"/>
    <w:rsid w:val="004F23D6"/>
    <w:rsid w:val="004F4172"/>
    <w:rsid w:val="004F4E69"/>
    <w:rsid w:val="004F5763"/>
    <w:rsid w:val="004F5985"/>
    <w:rsid w:val="00501B12"/>
    <w:rsid w:val="00502D38"/>
    <w:rsid w:val="00503A18"/>
    <w:rsid w:val="00505232"/>
    <w:rsid w:val="00506976"/>
    <w:rsid w:val="005102AE"/>
    <w:rsid w:val="00511324"/>
    <w:rsid w:val="00512FE8"/>
    <w:rsid w:val="0051385C"/>
    <w:rsid w:val="00516D18"/>
    <w:rsid w:val="005220E8"/>
    <w:rsid w:val="00527316"/>
    <w:rsid w:val="00527CF5"/>
    <w:rsid w:val="00530819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97073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43D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30E2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2A4"/>
    <w:rsid w:val="00693B14"/>
    <w:rsid w:val="0069559A"/>
    <w:rsid w:val="006A2E8E"/>
    <w:rsid w:val="006A522D"/>
    <w:rsid w:val="006A5A52"/>
    <w:rsid w:val="006A5B66"/>
    <w:rsid w:val="006A629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0F08"/>
    <w:rsid w:val="006E10A5"/>
    <w:rsid w:val="006E24B6"/>
    <w:rsid w:val="006E4A5A"/>
    <w:rsid w:val="006E50C8"/>
    <w:rsid w:val="006F0818"/>
    <w:rsid w:val="006F1578"/>
    <w:rsid w:val="006F235F"/>
    <w:rsid w:val="006F3208"/>
    <w:rsid w:val="006F44E1"/>
    <w:rsid w:val="006F4C0C"/>
    <w:rsid w:val="00700731"/>
    <w:rsid w:val="00700AA9"/>
    <w:rsid w:val="00701144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2778A"/>
    <w:rsid w:val="00730889"/>
    <w:rsid w:val="0073105C"/>
    <w:rsid w:val="00733E8A"/>
    <w:rsid w:val="00740826"/>
    <w:rsid w:val="0075311D"/>
    <w:rsid w:val="007534A0"/>
    <w:rsid w:val="0075680D"/>
    <w:rsid w:val="00762D66"/>
    <w:rsid w:val="00766247"/>
    <w:rsid w:val="00771E12"/>
    <w:rsid w:val="007731BF"/>
    <w:rsid w:val="00781D4C"/>
    <w:rsid w:val="00783299"/>
    <w:rsid w:val="00787483"/>
    <w:rsid w:val="00792A67"/>
    <w:rsid w:val="00795250"/>
    <w:rsid w:val="007957AD"/>
    <w:rsid w:val="007A01B4"/>
    <w:rsid w:val="007A29E5"/>
    <w:rsid w:val="007A5455"/>
    <w:rsid w:val="007A7360"/>
    <w:rsid w:val="007A7B60"/>
    <w:rsid w:val="007B5E4F"/>
    <w:rsid w:val="007B63D8"/>
    <w:rsid w:val="007B6E6C"/>
    <w:rsid w:val="007B75B3"/>
    <w:rsid w:val="007C184C"/>
    <w:rsid w:val="007C2D3C"/>
    <w:rsid w:val="007C38EF"/>
    <w:rsid w:val="007C40F6"/>
    <w:rsid w:val="007C470F"/>
    <w:rsid w:val="007C5AF9"/>
    <w:rsid w:val="007C6CE2"/>
    <w:rsid w:val="007D6528"/>
    <w:rsid w:val="007E3E15"/>
    <w:rsid w:val="007F0188"/>
    <w:rsid w:val="007F229D"/>
    <w:rsid w:val="007F3545"/>
    <w:rsid w:val="00804294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422F"/>
    <w:rsid w:val="00846E9A"/>
    <w:rsid w:val="0084794B"/>
    <w:rsid w:val="00847C1B"/>
    <w:rsid w:val="00850C3F"/>
    <w:rsid w:val="008560CD"/>
    <w:rsid w:val="0085682D"/>
    <w:rsid w:val="008625A3"/>
    <w:rsid w:val="00863449"/>
    <w:rsid w:val="00865517"/>
    <w:rsid w:val="00867738"/>
    <w:rsid w:val="00874D05"/>
    <w:rsid w:val="00882066"/>
    <w:rsid w:val="008839C7"/>
    <w:rsid w:val="00883F92"/>
    <w:rsid w:val="008910EA"/>
    <w:rsid w:val="00892F71"/>
    <w:rsid w:val="00893155"/>
    <w:rsid w:val="008A1BBC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F1CD7"/>
    <w:rsid w:val="008F54CE"/>
    <w:rsid w:val="008F6ABB"/>
    <w:rsid w:val="0090262E"/>
    <w:rsid w:val="0090714C"/>
    <w:rsid w:val="00915CF8"/>
    <w:rsid w:val="00920D76"/>
    <w:rsid w:val="00922185"/>
    <w:rsid w:val="00926CBD"/>
    <w:rsid w:val="0093033C"/>
    <w:rsid w:val="0093680A"/>
    <w:rsid w:val="0095203B"/>
    <w:rsid w:val="009522BF"/>
    <w:rsid w:val="009549A8"/>
    <w:rsid w:val="00956F32"/>
    <w:rsid w:val="00960A35"/>
    <w:rsid w:val="00963156"/>
    <w:rsid w:val="0096734B"/>
    <w:rsid w:val="00967AF7"/>
    <w:rsid w:val="0097053C"/>
    <w:rsid w:val="00970546"/>
    <w:rsid w:val="00974266"/>
    <w:rsid w:val="00976283"/>
    <w:rsid w:val="0097655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3977"/>
    <w:rsid w:val="009B6A5B"/>
    <w:rsid w:val="009C29F5"/>
    <w:rsid w:val="009D0E91"/>
    <w:rsid w:val="009D1F1D"/>
    <w:rsid w:val="009F01B2"/>
    <w:rsid w:val="009F176D"/>
    <w:rsid w:val="009F4933"/>
    <w:rsid w:val="00A123B0"/>
    <w:rsid w:val="00A12785"/>
    <w:rsid w:val="00A1347C"/>
    <w:rsid w:val="00A14C1E"/>
    <w:rsid w:val="00A14F04"/>
    <w:rsid w:val="00A20038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85215"/>
    <w:rsid w:val="00A85511"/>
    <w:rsid w:val="00A87DFE"/>
    <w:rsid w:val="00A92B62"/>
    <w:rsid w:val="00A9488B"/>
    <w:rsid w:val="00A952E5"/>
    <w:rsid w:val="00A95C4B"/>
    <w:rsid w:val="00A9766E"/>
    <w:rsid w:val="00AA00ED"/>
    <w:rsid w:val="00AA0FE0"/>
    <w:rsid w:val="00AA18E5"/>
    <w:rsid w:val="00AA1F7C"/>
    <w:rsid w:val="00AA2DC0"/>
    <w:rsid w:val="00AA3222"/>
    <w:rsid w:val="00AA3A5A"/>
    <w:rsid w:val="00AA5983"/>
    <w:rsid w:val="00AB1158"/>
    <w:rsid w:val="00AB185B"/>
    <w:rsid w:val="00AB2493"/>
    <w:rsid w:val="00AB3D77"/>
    <w:rsid w:val="00AB4DE2"/>
    <w:rsid w:val="00AC18B2"/>
    <w:rsid w:val="00AC2D1D"/>
    <w:rsid w:val="00AC4D86"/>
    <w:rsid w:val="00AD38D1"/>
    <w:rsid w:val="00AD3AE6"/>
    <w:rsid w:val="00AD4D4F"/>
    <w:rsid w:val="00AD4F29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00BF"/>
    <w:rsid w:val="00B211A6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377BF"/>
    <w:rsid w:val="00B416E8"/>
    <w:rsid w:val="00B41C96"/>
    <w:rsid w:val="00B42217"/>
    <w:rsid w:val="00B42860"/>
    <w:rsid w:val="00B4792B"/>
    <w:rsid w:val="00B50567"/>
    <w:rsid w:val="00B506C1"/>
    <w:rsid w:val="00B52050"/>
    <w:rsid w:val="00B52B97"/>
    <w:rsid w:val="00B542FD"/>
    <w:rsid w:val="00B55668"/>
    <w:rsid w:val="00B557C7"/>
    <w:rsid w:val="00B563C1"/>
    <w:rsid w:val="00B56899"/>
    <w:rsid w:val="00B63860"/>
    <w:rsid w:val="00B63AB6"/>
    <w:rsid w:val="00B6407D"/>
    <w:rsid w:val="00B64667"/>
    <w:rsid w:val="00B653AB"/>
    <w:rsid w:val="00B65C31"/>
    <w:rsid w:val="00B670C8"/>
    <w:rsid w:val="00B67D35"/>
    <w:rsid w:val="00B70729"/>
    <w:rsid w:val="00B80CDE"/>
    <w:rsid w:val="00B83C5D"/>
    <w:rsid w:val="00B84397"/>
    <w:rsid w:val="00B85AA2"/>
    <w:rsid w:val="00B867CF"/>
    <w:rsid w:val="00B90BAE"/>
    <w:rsid w:val="00B90EA8"/>
    <w:rsid w:val="00B978A4"/>
    <w:rsid w:val="00BA0DF1"/>
    <w:rsid w:val="00BA3CA4"/>
    <w:rsid w:val="00BA3D53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5BC3"/>
    <w:rsid w:val="00BC7EE7"/>
    <w:rsid w:val="00BD0EC1"/>
    <w:rsid w:val="00BD2CDD"/>
    <w:rsid w:val="00BD47E6"/>
    <w:rsid w:val="00BD70EA"/>
    <w:rsid w:val="00BD78F8"/>
    <w:rsid w:val="00BE08AF"/>
    <w:rsid w:val="00BE2F1F"/>
    <w:rsid w:val="00BE37C4"/>
    <w:rsid w:val="00BE418D"/>
    <w:rsid w:val="00BF7542"/>
    <w:rsid w:val="00C01ABD"/>
    <w:rsid w:val="00C0467A"/>
    <w:rsid w:val="00C079C9"/>
    <w:rsid w:val="00C11E1A"/>
    <w:rsid w:val="00C14715"/>
    <w:rsid w:val="00C21713"/>
    <w:rsid w:val="00C2344E"/>
    <w:rsid w:val="00C257E1"/>
    <w:rsid w:val="00C370C8"/>
    <w:rsid w:val="00C37585"/>
    <w:rsid w:val="00C4075D"/>
    <w:rsid w:val="00C4274A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0246"/>
    <w:rsid w:val="00C93421"/>
    <w:rsid w:val="00C93C94"/>
    <w:rsid w:val="00CA38ED"/>
    <w:rsid w:val="00CA5075"/>
    <w:rsid w:val="00CA64A7"/>
    <w:rsid w:val="00CA6E0C"/>
    <w:rsid w:val="00CA7B08"/>
    <w:rsid w:val="00CB18F5"/>
    <w:rsid w:val="00CB4338"/>
    <w:rsid w:val="00CB4405"/>
    <w:rsid w:val="00CC53F0"/>
    <w:rsid w:val="00CD22C2"/>
    <w:rsid w:val="00CD2754"/>
    <w:rsid w:val="00CD4FDB"/>
    <w:rsid w:val="00CE0B04"/>
    <w:rsid w:val="00CE2B0F"/>
    <w:rsid w:val="00CE4D8B"/>
    <w:rsid w:val="00CE5283"/>
    <w:rsid w:val="00CE647A"/>
    <w:rsid w:val="00CE6D56"/>
    <w:rsid w:val="00CF108A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6EA1"/>
    <w:rsid w:val="00D572A5"/>
    <w:rsid w:val="00D579C4"/>
    <w:rsid w:val="00D63B21"/>
    <w:rsid w:val="00D6442C"/>
    <w:rsid w:val="00D655BA"/>
    <w:rsid w:val="00D677A2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3EC"/>
    <w:rsid w:val="00DA6BD7"/>
    <w:rsid w:val="00DA7329"/>
    <w:rsid w:val="00DB080C"/>
    <w:rsid w:val="00DB0A8E"/>
    <w:rsid w:val="00DB5680"/>
    <w:rsid w:val="00DB66BE"/>
    <w:rsid w:val="00DB6C37"/>
    <w:rsid w:val="00DB74C0"/>
    <w:rsid w:val="00DC35FA"/>
    <w:rsid w:val="00DC574A"/>
    <w:rsid w:val="00DC6DCA"/>
    <w:rsid w:val="00DC70F1"/>
    <w:rsid w:val="00DD1906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33AC"/>
    <w:rsid w:val="00E14255"/>
    <w:rsid w:val="00E1441A"/>
    <w:rsid w:val="00E202B1"/>
    <w:rsid w:val="00E2111B"/>
    <w:rsid w:val="00E22664"/>
    <w:rsid w:val="00E22C1B"/>
    <w:rsid w:val="00E23E68"/>
    <w:rsid w:val="00E31A7F"/>
    <w:rsid w:val="00E3537C"/>
    <w:rsid w:val="00E36954"/>
    <w:rsid w:val="00E36D47"/>
    <w:rsid w:val="00E40091"/>
    <w:rsid w:val="00E45064"/>
    <w:rsid w:val="00E453F6"/>
    <w:rsid w:val="00E47D0F"/>
    <w:rsid w:val="00E538D0"/>
    <w:rsid w:val="00E56C53"/>
    <w:rsid w:val="00E65FCB"/>
    <w:rsid w:val="00E676C8"/>
    <w:rsid w:val="00E70851"/>
    <w:rsid w:val="00E71F77"/>
    <w:rsid w:val="00E7260D"/>
    <w:rsid w:val="00E76B20"/>
    <w:rsid w:val="00E80F1D"/>
    <w:rsid w:val="00E81720"/>
    <w:rsid w:val="00E84D30"/>
    <w:rsid w:val="00E865C5"/>
    <w:rsid w:val="00E92D52"/>
    <w:rsid w:val="00E94DCC"/>
    <w:rsid w:val="00EA32E9"/>
    <w:rsid w:val="00EA7E8B"/>
    <w:rsid w:val="00EB1BA1"/>
    <w:rsid w:val="00EB7B5C"/>
    <w:rsid w:val="00EC185E"/>
    <w:rsid w:val="00EC75A7"/>
    <w:rsid w:val="00ED08A9"/>
    <w:rsid w:val="00ED41C0"/>
    <w:rsid w:val="00ED4700"/>
    <w:rsid w:val="00EE2AD7"/>
    <w:rsid w:val="00EE7585"/>
    <w:rsid w:val="00EF23DE"/>
    <w:rsid w:val="00EF31E0"/>
    <w:rsid w:val="00EF467A"/>
    <w:rsid w:val="00F00544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B00"/>
    <w:rsid w:val="00F33D23"/>
    <w:rsid w:val="00F41CD8"/>
    <w:rsid w:val="00F4407A"/>
    <w:rsid w:val="00F4407D"/>
    <w:rsid w:val="00F45909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A28F1"/>
    <w:rsid w:val="00FA2C39"/>
    <w:rsid w:val="00FA3457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  <w:style w:type="paragraph" w:customStyle="1" w:styleId="11">
    <w:name w:val="Обычный1"/>
    <w:rsid w:val="00147761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fontstyle21">
    <w:name w:val="fontstyle21"/>
    <w:basedOn w:val="a0"/>
    <w:rsid w:val="007731BF"/>
    <w:rPr>
      <w:rFonts w:ascii="CIDFont+F2" w:hAnsi="CIDFont+F2" w:hint="default"/>
      <w:b w:val="0"/>
      <w:bCs w:val="0"/>
      <w:i/>
      <w:iCs/>
      <w:color w:val="000000"/>
      <w:sz w:val="22"/>
      <w:szCs w:val="22"/>
    </w:rPr>
  </w:style>
  <w:style w:type="character" w:customStyle="1" w:styleId="pt-a0-000034">
    <w:name w:val="pt-a0-000034"/>
    <w:basedOn w:val="a0"/>
    <w:rsid w:val="00A1347C"/>
  </w:style>
  <w:style w:type="paragraph" w:customStyle="1" w:styleId="msonormalmrcssattr">
    <w:name w:val="msonormal_mr_css_attr"/>
    <w:basedOn w:val="a"/>
    <w:rsid w:val="00A134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CCAF2-8D04-4E4A-8415-F719F55D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2009</Words>
  <Characters>14239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</dc:creator>
  <cp:lastModifiedBy>antropov</cp:lastModifiedBy>
  <cp:revision>17</cp:revision>
  <cp:lastPrinted>2023-03-31T11:08:00Z</cp:lastPrinted>
  <dcterms:created xsi:type="dcterms:W3CDTF">2023-03-31T11:09:00Z</dcterms:created>
  <dcterms:modified xsi:type="dcterms:W3CDTF">2023-04-14T06:29:00Z</dcterms:modified>
</cp:coreProperties>
</file>